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BIZ UDPゴシック" w:eastAsia="BIZ UDPゴシック" w:hAnsi="BIZ UDPゴシック"/>
          <w:b/>
          <w:bCs/>
          <w:color w:val="1F3A5F"/>
          <w:sz w:val="28"/>
          <w:szCs w:val="28"/>
        </w:rPr>
        <w:t>ルーブリック</w:t>
      </w:r>
    </w:p>
    <w:p>
      <w:pPr>
        <w:spacing w:after="160"/>
        <w:jc w:val="center"/>
      </w:pPr>
      <w:r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「選んだ典型教材を理解する」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70"/>
        <w:gridCol w:w="3900"/>
        <w:gridCol w:w="3900"/>
        <w:gridCol w:w="3900"/>
      </w:tblGrid>
      <w:tr>
        <w:trPr>
          <w:tblHeader/>
        </w:trPr>
        <w:tc>
          <w:tcPr>
            <w:tcW w:type="dxa" w:w="28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3A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BIZ UDPゴシック" w:eastAsia="BIZ UDPゴシック" w:hAnsi="BIZ UDPゴシック"/>
                <w:b/>
                <w:bCs/>
                <w:color w:val="FFFFFF"/>
                <w:sz w:val="20"/>
                <w:szCs w:val="20"/>
              </w:rPr>
              <w:t xml:space="preserve">観　点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3A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BIZ UDPゴシック" w:eastAsia="BIZ UDPゴシック" w:hAnsi="BIZ UDPゴシック"/>
                <w:b/>
                <w:bCs/>
                <w:color w:val="FFFFFF"/>
                <w:sz w:val="20"/>
                <w:szCs w:val="20"/>
              </w:rPr>
              <w:t xml:space="preserve">3　十分満足できる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3A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BIZ UDPゴシック" w:eastAsia="BIZ UDPゴシック" w:hAnsi="BIZ UDPゴシック"/>
                <w:b/>
                <w:bCs/>
                <w:color w:val="FFFFFF"/>
                <w:sz w:val="20"/>
                <w:szCs w:val="20"/>
              </w:rPr>
              <w:t xml:space="preserve">2　おおむね満足できる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3A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BIZ UDPゴシック" w:eastAsia="BIZ UDPゴシック" w:hAnsi="BIZ UDPゴシック"/>
                <w:b/>
                <w:bCs/>
                <w:color w:val="FFFFFF"/>
                <w:sz w:val="20"/>
                <w:szCs w:val="20"/>
              </w:rPr>
              <w:t xml:space="preserve">1　努力を要する</w:t>
            </w:r>
          </w:p>
        </w:tc>
      </w:tr>
      <w:tr>
        <w:trPr>
          <w:cantSplit/>
        </w:trPr>
        <w:tc>
          <w:tcPr>
            <w:tcW w:type="dxa" w:w="28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2"/>
                <w:szCs w:val="22"/>
              </w:rPr>
              <w:t xml:space="preserve">ルールの理解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color w:val="666666"/>
                <w:sz w:val="18"/>
                <w:szCs w:val="18"/>
              </w:rPr>
              <w:t xml:space="preserve">教材のルールの正確さ・網羅性（レポート2）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人数・チーム、コート（図）、用具、ゲームの始め方・再開、得点の仕方、攻撃・守備のきまりが正確に書かれている。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読んだ人がそのままゲームを再現できる。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主なルールは正確に書かれている。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ただし、一部の項目（再開の仕方など）が抜けていたり、あいまいだったりして、再現には補足が必要である。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ルールに誤りや大きな抜けがあり、ゲームを再現できない。</w:t>
            </w:r>
          </w:p>
        </w:tc>
      </w:tr>
      <w:tr>
        <w:trPr>
          <w:cantSplit/>
        </w:trPr>
        <w:tc>
          <w:tcPr>
            <w:tcW w:type="dxa" w:w="28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2"/>
                <w:szCs w:val="22"/>
              </w:rPr>
              <w:t xml:space="preserve">内容理解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color w:val="666666"/>
                <w:sz w:val="18"/>
                <w:szCs w:val="18"/>
              </w:rPr>
              <w:t xml:space="preserve">内容的視点：「学習内容」の明確さ（レポート3）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実践記録に示された学習内容（ねらい）を正確に捉え、わかる・できる・関わるの観点ごとに、具体的な動きや行動として書いている。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さらに、その学習内容が教材のどのルールや工夫によって学ばれるのかを、ルールと結びつけて説明している。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実践記録に示された学習内容（ねらい）を捉え、わかる・できる・関わるの観点ごとに書いている。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ただし、記述が抽象的であったり、ルールとの結びつきの説明が一部にとどまったりしている。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学習内容が「ゲームを楽しむ」「チームワーク」など一般的な記述にとどまっている。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または、実践記録のねらいと合っていない、空欄の観点がある。</w:t>
            </w:r>
          </w:p>
        </w:tc>
      </w:tr>
      <w:tr>
        <w:trPr>
          <w:cantSplit/>
        </w:trPr>
        <w:tc>
          <w:tcPr>
            <w:tcW w:type="dxa" w:w="28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2"/>
                <w:szCs w:val="22"/>
              </w:rPr>
              <w:t xml:space="preserve">学習意欲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color w:val="666666"/>
                <w:sz w:val="18"/>
                <w:szCs w:val="18"/>
              </w:rPr>
              <w:t xml:space="preserve">方法的視点：「学習意欲」の喚起（レポート4）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学習機会の平等性、能力や発達段階・興味・関心、プレイ性の確保の3つすべてについて、教材のどのルールや工夫が当てはまるかを具体的に挙げている。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さらに、それがなぜ学習意欲を引き出すのかを説明している。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3つの観点それぞれについて、当てはまるルールや工夫を挙げている。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ただし、なぜ学習意欲を引き出すのかの説明が一部不十分である。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「楽しい」「みんなができる」など一般的な記述にとどまり、教材のルールや工夫と結びついていない。</w:t>
            </w:r>
          </w:p>
          <w:p>
            <w:pPr>
              <w:spacing w:after="40"/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または、空欄の観点がある。</w:t>
            </w:r>
          </w:p>
        </w:tc>
      </w:tr>
    </w:tbl>
    <w:p>
      <w:pPr>
        <w:spacing w:before="120"/>
        <w:jc w:val="right"/>
      </w:pPr>
      <w:r>
        <w:rPr>
          <w:rFonts w:ascii="BIZ UDPゴシック" w:eastAsia="BIZ UDPゴシック" w:hAnsi="BIZ UDPゴシック"/>
          <w:b/>
          <w:bCs/>
          <w:color w:val="1F3A5F"/>
          <w:sz w:val="22"/>
          <w:szCs w:val="22"/>
        </w:rPr>
        <w:t xml:space="preserve">3観点 × 3点 ＝ 9点満点</w:t>
      </w:r>
    </w:p>
    <w:sectPr>
      <w:pgSz w:w="16838" w:h="11906" w:orient="landscape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ja-JP" w:eastAsia="ja-JP"/>
        <w:rFonts w:ascii="BIZ UDPゴシック" w:eastAsia="BIZ UDPゴシック" w:hAnsi="BIZ UDP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2026-10-04T01:27:21.247Z</dcterms:created>
  <dcterms:modified xsi:type="dcterms:W3CDTF">2026-10-04T01:27:21.247Z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