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BIZ UDPゴシック" w:eastAsia="BIZ UDPゴシック" w:hAnsi="BIZ UDPゴシック"/>
          <w:b/>
          <w:bCs/>
          <w:color w:val="1F3A5F"/>
          <w:sz w:val="28"/>
          <w:szCs w:val="28"/>
        </w:rPr>
        <w:t>レポート様式</w:t>
      </w:r>
    </w:p>
    <w:p>
      <w:pPr>
        <w:spacing w:after="200"/>
        <w:jc w:val="center"/>
      </w:pPr>
      <w:r>
        <w:rPr>
          <w:rFonts w:ascii="BIZ UDPゴシック" w:eastAsia="BIZ UDPゴシック" w:hAnsi="BIZ UDPゴシック"/>
          <w:b/>
          <w:bCs/>
          <w:sz w:val="26"/>
          <w:szCs w:val="26"/>
        </w:rPr>
        <w:t xml:space="preserve">選んだ典型教材を理解する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1000"/>
        <w:gridCol w:w="2338"/>
        <w:gridCol w:w="1100"/>
        <w:gridCol w:w="1400"/>
      </w:tblGrid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学籍番号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氏名</w:t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ペア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3A5F" w:sz="6" w:space="2"/>
        </w:pBdr>
        <w:spacing w:after="80" w:before="240"/>
      </w:pPr>
      <w:r>
        <w:rPr>
          <w:rFonts w:ascii="BIZ UDPゴシック" w:eastAsia="BIZ UDPゴシック" w:hAnsi="BIZ UDPゴシック"/>
          <w:b/>
          <w:bCs/>
          <w:color w:val="1F3A5F"/>
          <w:sz w:val="24"/>
          <w:szCs w:val="24"/>
        </w:rPr>
        <w:t xml:space="preserve">1．教材名・対象学年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教材名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対象学年（実践）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3A5F" w:sz="6" w:space="2"/>
        </w:pBdr>
        <w:spacing w:after="80" w:before="240"/>
      </w:pPr>
      <w:r>
        <w:rPr>
          <w:rFonts w:ascii="BIZ UDPゴシック" w:eastAsia="BIZ UDPゴシック" w:hAnsi="BIZ UDPゴシック"/>
          <w:b/>
          <w:bCs/>
          <w:color w:val="1F3A5F"/>
          <w:sz w:val="24"/>
          <w:szCs w:val="24"/>
        </w:rPr>
        <w:t xml:space="preserve">2．教材のルール</w:t>
      </w:r>
    </w:p>
    <w:p>
      <w:pPr>
        <w:spacing w:after="60"/>
      </w:pPr>
      <w:r>
        <w:rPr>
          <w:rFonts w:ascii="BIZ UDPゴシック" w:eastAsia="BIZ UDPゴシック" w:hAnsi="BIZ UDPゴシック"/>
          <w:color w:val="666666"/>
          <w:sz w:val="18"/>
          <w:szCs w:val="18"/>
        </w:rPr>
        <w:t xml:space="preserve">PDFの表や図を見ながら、自分の言葉で書く。コートは図でかく。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人数・チーム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コート（図）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用具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ゲームの始め方・再開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得点の仕方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攻撃・守備のきまり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その他のルール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</w:tbl>
    <w:p>
      <w:pPr>
        <w:pageBreakBefore/>
        <w:pBdr>
          <w:bottom w:val="single" w:color="1F3A5F" w:sz="6" w:space="2"/>
        </w:pBdr>
        <w:spacing w:after="80" w:before="240"/>
      </w:pPr>
      <w:r>
        <w:rPr>
          <w:rFonts w:ascii="BIZ UDPゴシック" w:eastAsia="BIZ UDPゴシック" w:hAnsi="BIZ UDPゴシック"/>
          <w:b/>
          <w:bCs/>
          <w:color w:val="1F3A5F"/>
          <w:sz w:val="24"/>
          <w:szCs w:val="24"/>
        </w:rPr>
        <w:t xml:space="preserve">3．内容的視点：「学習内容」の明確さ</w:t>
      </w:r>
    </w:p>
    <w:p>
      <w:pPr>
        <w:spacing w:after="60"/>
      </w:pPr>
      <w:r>
        <w:rPr>
          <w:rFonts w:ascii="BIZ UDPゴシック" w:eastAsia="BIZ UDPゴシック" w:hAnsi="BIZ UDPゴシック"/>
          <w:color w:val="666666"/>
          <w:sz w:val="18"/>
          <w:szCs w:val="18"/>
        </w:rPr>
        <w:t xml:space="preserve">この教材を通して、何を学ばせたいのか。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知識・認識（わかる）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技術・戦術（できる）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社会的行動（関わる）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3A5F" w:sz="6" w:space="2"/>
        </w:pBdr>
        <w:spacing w:after="80" w:before="240"/>
      </w:pPr>
      <w:r>
        <w:rPr>
          <w:rFonts w:ascii="BIZ UDPゴシック" w:eastAsia="BIZ UDPゴシック" w:hAnsi="BIZ UDPゴシック"/>
          <w:b/>
          <w:bCs/>
          <w:color w:val="1F3A5F"/>
          <w:sz w:val="24"/>
          <w:szCs w:val="24"/>
        </w:rPr>
        <w:t xml:space="preserve">4．方法的視点：「学習意欲」の喚起</w:t>
      </w:r>
    </w:p>
    <w:p>
      <w:pPr>
        <w:spacing w:after="60"/>
      </w:pPr>
      <w:r>
        <w:rPr>
          <w:rFonts w:ascii="BIZ UDPゴシック" w:eastAsia="BIZ UDPゴシック" w:hAnsi="BIZ UDPゴシック"/>
          <w:color w:val="666666"/>
          <w:sz w:val="18"/>
          <w:szCs w:val="18"/>
        </w:rPr>
        <w:t xml:space="preserve">どのルールや工夫が、それぞれにつながっているか。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学習機会の平等性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能力や発達段階・興味・関心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b/>
                <w:bCs/>
                <w:color w:val="1F3A5F"/>
                <w:sz w:val="21"/>
                <w:szCs w:val="21"/>
              </w:rPr>
              <w:t xml:space="preserve">プレイ性の確保</w:t>
            </w:r>
          </w:p>
        </w:tc>
        <w:tc>
          <w:tcPr>
            <w:tcW w:type="dxa" w:w="7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BIZ UDPゴシック" w:eastAsia="BIZ UDPゴシック" w:hAnsi="BIZ UDPゴシック"/>
                <w:sz w:val="21"/>
                <w:szCs w:val="21"/>
              </w:rPr>
              <w:t xml:space="preserve"/>
            </w:r>
          </w:p>
        </w:tc>
      </w:tr>
    </w:tbl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ja-JP" w:eastAsia="ja-JP"/>
        <w:rFonts w:ascii="BIZ UDPゴシック" w:eastAsia="BIZ UDPゴシック" w:hAnsi="BIZ UDPゴシック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2026-10-03T22:21:16.649Z</dcterms:created>
  <dcterms:modified xsi:type="dcterms:W3CDTF">2026-10-03T22:21:16.649Z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